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eb27cb02d47d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30494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KASTAV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5.884.349,01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6.221.654,16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3.227.287,58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5.259.369,33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2.657.061,43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962.284,83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16.055,28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22.641,51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1.598.713,27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2.535.180,31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1.582.657,99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2.512.538,80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1.019.400,23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331.718,98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126.098,75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260.783,26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893.301,48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70.935,72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1.479.318,25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Konsolidirani rezultat razdoblja je manjak prihoda i primitaka u iznosu 1.479.318,25 EUR što uz preneseni višak iz ranijih godina predstavlja ukupno višak razdoblja u iznosu 87.757,96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3.861.196,30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4.541.186,47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rasli u skladu s kretanjima na tržištu te rastu dohotka.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3.637,67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plaćanje poreza na kuće za odmor po rješenjima iz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112.606,86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su prihodi po podnesenim ZNS-ovima za Interreg projekt te projekt izrade Strategije zelene urbane obnove.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209.560,86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14.195,05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Viškovo financira izgradnju dijela zajedničkog groblja na području Grada Kastva.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3.531,40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7.895,37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od sufinanciranja boravka od ostalih općina i gradova predstavlja povećanje od 123,6 postotnih poena zbog preseljenja djece u druge općine i gradove koja će do kraja pedagoške godine boraviti u našem vrtiću.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37.743,13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26.558,40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26.558,40 EUR odnosi se na uplatu prihoda za novi projekt ERASMUS+ kod proračunskog korisnika DV Vladimir Nazor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zateznih kamata sukladno stvarnoj realizaciji.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75.185,32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59.872,86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Manji broj prostora koji su u zakupu.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kamata na dane zajmove neprofitnim organizacijama,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kamate na obročnu otplatu komunalnog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Županijske, gradske i općinske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36.326,39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Godišnju grobnu naknadu obračunava i prihod je novog komunalnog društva za upravljanje grobljima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 i upravne mjere (šifre 6811 do 6819)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31.855,69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Naplaćeni su penali za kašnjenje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1.209.638,98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1.760.696,25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Povećane su plaće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29.472,03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42.032,55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su iznosi cijene mjesečne karte javnog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24.501,94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33.858,49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Službenici su sudjelovali na više usavršavanja s obzirom na zakonske novine u pojedinim područjima. Osim redovnih stručnih seminara i edukacija, uključuje i putovanja stručnog usavršavanja u sklopu projekta Erasmus+ kod DV Vladimir Nazor.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33.530,41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39.682,07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 potrebe novih prostora Gradske uprave nabavljen je potrošni materijal.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76.422,67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81.313,88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nabavljen materijal za provedbu radionica u sklopu projekta financiranog od strane Središnjeg ureda za demografiju i mlade.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9.519,03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 potrebe novog prostora Gradske uprave nabavljen je sitan materijal te su nabavljeni novi službeni mobiteli prilikom produljenja ugovora.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222.213,11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348.254,91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Tijekom 2025. godine odrađeno je više održavanja u prvom redu komunalne infrastrukture, a i rasle su cijene usluga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34.593,51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48.635,45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provedbu aktivnosti u sklopu odobrenih projekata sufinanciranih bespovratnim sredstvima.
Kod vrtića objavljen je natječaj za ravnatelja i javna nabava za transportno vozilo preko EOJN.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122.709,40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142.012,97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sklopu projekta za djecu predškolske dobi i učenika 1. do 4. razreda plaćeni su ugovori o djelu provoditeljima pojedinih aktivnosti. Za potrebe evidentiranja izvršeno je geodetsko snimanje komunalne infrastrukture te novi ortofoto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38.978,26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45.236,82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cijena kao i opsega digitalnih usluga te programa koji se koriste uslijed digitalizacije i zakonskih promjena.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23.191,13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41.592,15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provedbu Lokalnih izbora, isplata naknade za rad biračkih odbora te izbornog povjerenstva.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14.470,44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20.570,51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u odnosu na 2024. knjižena je u tekućem razdoblju jedna rata više police osiguranja te je za novoizgrađeno reciklažno dvorište ugovoreno osiguranje.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42.278,52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17.871,28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iznosa poticajne naknade za smanjenje količine miješanog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14.767,63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26.599,18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Provedene su određene aktivnosti u sklopu Erasmus projekta (priprema Lokalnog programa za mlade) te je bilo više protokolarnih aktivnosti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13.452,98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42.724,61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otplatu je s početkom godine prešao novi kredit, a jedan je u korištenju.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239.119,72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617.523,98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Sukladno novom Pravilniku, ukupna obveza za 2025. godinu (subvencija javnog prijevoza) knjižena je na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inozemnim vladama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62.535,18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Prijenos sredstava partnerima na Interreg projektu HR-SLO iz Slovenije.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Sudjelovanje u financiranju rada zajedničke sortirnice s drugim JLS.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85.483,47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215.120,46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skladu s novim Pravilnikom ukupna obveza za 2025. godinu knjižena je na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sredstva uplaćena MUP-u za nabavu kamera za nadzor brzine.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17.364,87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Prijenos sredstava partneru na Interreg projektu HR-SLO.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291.691,57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482.671,36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Povećani su iznosi po svim pravima koja ostvaruju građani, obitelji (socijalna prava, naknade umirovljenicima, subvencije vrtića, naknade za novorođenčad itd.)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263.690,32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585.548,37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Sukladno novom Pravilniku ukupan iznos obveze za 2025. godinu knjižen je na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iz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9.492,22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Prijenos sredstava partneru na Interreg projektu HR-SLO.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177.660,32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Kupnja zemljišta u skladu s odlukama.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Izrada projektne dokumentacije za buduću cestu.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204.781,25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21.275,63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provodila se rekonstrukcija poslovnog objekta.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339.482,57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tijeku je izgradnja nerazvrstane ceste u radnoj zoni.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18.059,26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408.974,14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Izvršeno je opremanje prostora nove Gradske uprave te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Izvršeno je opremanje prostora nove Gradske uprave te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53.014,67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118.165,20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Nabavljena je oprema za reciklažno dvorište te nova montažna ljetna pozornica.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1.019.400,23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331.718,98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u skladu sa zahtjevima za povlačenje kredita.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126.098,75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260.783,26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 ove godine u otplatu je prešao jedan novi dugoročni kredit.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15.910,79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odnose se na neplaćene račune koji su kasnije zaprimljeni i obrađeni, a plaćeni su u srpnju. Kod proračunskog korisnika dva računa su u reklamaciji jer ih sustav odbija prihvatiti, čekaju se programeri s rješenjem.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6.028.325,67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najvećim dijelom odnose se na obveze po dugoročnim kreditima te obveze za plaću za lipanj koja je isplaćena u srpnju.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	                                                                           RAZINA 21	           RAZINA 22	  KONSOLIDIRANO
PRIHODI POSLOVANJA	                                   -14.548,49	            976.833,32	    962.284,83
PRIHODI NEFINANCIJSKA IMOVINA	    -6.413,74	                 -2.506.125,06	  -2.512.538,80
PRIMICI FINANCIJSKA IMOVINA	                 0,00	                     70.935,72	     70.935,72
REZULTAT RAZDOBLJA	                                   -20.962,23	        -1.458.356,02	   -1.479.318,25
Grad Kastav (razina 22) ostvario je u izvještajnom razdoblju višak prihoda poslovanja te primitaka od financijske imovine. Proračunski korisnik DV Vladimir Nazor ostvario je manjak prihoda poslovanja te prihoda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postupku konsolidacije eliminirana su stanja na računu 6711 kod proračunskog korisnika (razina 21) te stanja na računu 3672 kod Grada Kastva (razina 22) u iznosu 1.063.904,30 EUR 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bcb3e113494719" /></Relationships>
</file>